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Winchester Public Schools PTO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February 15,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Virtual (Google Meeting)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7 p.m.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Attendance: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R. Incillo, J. Scacca, E. Renard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(SP?)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K. Roy, R. Field, B. Sundie (phone), S. Gunther (phone)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R. Incillo: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process of opening new account at NW Community Bank is complete. TD Bank account closed.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Superintendent’s report: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Not in attendance, district business (review of student testing data)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Principal’s report(s):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K. Roy (Pearson, Oak Street):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New librarian at Pearson, positive reviews so far and has done an “amazing” job organizing the library so far; Mrs. Xander returning from maternity leave; non-certified staff performing professional development in small group instruction; certified instructors developing instructional plans in math and ELA; SBAC testing will be held in May; Pacer tests on the horizon for physical education students; extended school year programming to be held at Pearson 6/13 through 6/30 for students who qualify; art TAG has concluded, music TAG (guitar) to start soon; transition meetings to be between TGS and WPS staff (for matriculating sixth graders); Pearson student Timothy Hall won spelling bee, qualifying for regional competition; Pearson band will march in Laurel Festival and pet parades this year; drama club performance of Wizard of Oz will be held at TGS; student leadership program with K. Roy is ongoing, lately working on a “kindness rock” project.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R. Field (Batcheller):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Reading assessments, increases at all grade levels except first, which was just slightly below; kindergartners focusing on vocabulary use and functions, small and group instruction, focusing on base words, pre-words and suffixes; first graders focusing on small and whole group instruction, including word recognition and phonics—areas affected by COVID last year; second graders focusing on key ideas, writing strategies, grammar and punctuation; math students working on measurements and data, focus varies by grade; upcoming events include: winter recess, school climate meeting, winter awards distribution (students and staff attending only, everyone will be invited to year-end awards.)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Family Resource Center Report: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Carol Parent joining once a month to hold play and learn groups; pre-school applications ended today (2/15) and will spend next two weeks going through applications, currently 49 applicants and spaces are given out during the next couple of weeks.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R. Incillo,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leads discussion on field trips and PTO financial support—what’s the long-term plan for PTO contributing (financially) to these trips?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S. Gunther: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February incorporation fee, $50; closed TD Bank account with $31k balance;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R. Incillo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motion to approve purchase new bank stamp if price is below $100,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B. Sundie,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second. Vote unanimous.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Bylaws Committee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R. Incillo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informs that a former chairman put together a draft  based on edits that had been discussed during previous meetings and will bring it to next month’s meeting for consideration.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Scholastic Committee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S. Gunther: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3/11 through 3/18 there will be an in-person book fair because parent-teacher conferences are in-person (though there will be virtual conference options too.)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Yearbook Committee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S. Guenther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indicates that $3,340 in business ads have been sold so far; So far, 55 yearbooks have been ordered, and $285 in yearbook donations committed through order forms sent to families.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7:40 p.m.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